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Toc490579934"/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马来西亚中小企业集聚区标准厂房及配套设施建设项目(三期)(首开区)水土保持报告表部分章节内容编制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马来西亚中小企业集聚区标准厂房及配套设施建设项目(三期)(首开区)水土保持报告表部分章节内容编制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咨询服务，我司报价为人民币　　　　万元（¥　　　），该报价为含税总价，该费用报价包括实施和完成本项目的监理工作所需的劳务费、技术服务费、交通、通讯、保险、税费和利润。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   日　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方正仿宋_GBK" w:cs="Times New Roman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马来西亚中小企业集聚区标准厂房及配套设施建设项目(三期)(首开区)水土保持报告表</w:t>
      </w:r>
    </w:p>
    <w:tbl>
      <w:tblPr>
        <w:tblStyle w:val="16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562"/>
        <w:gridCol w:w="397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97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马来西亚中小企业集聚区标准厂房及配套设施建设项目(三期)(首开区)水土保持报告表部分章节内容编制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可行性研究报告及项目建议书部分章节内容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4"/>
        <w:widowControl/>
        <w:spacing w:beforeAutospacing="0" w:afterAutospacing="0" w:line="560" w:lineRule="exact"/>
        <w:rPr>
          <w:rFonts w:hint="default" w:ascii="Times New Roman" w:hAnsi="Times New Roman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14"/>
        <w:widowControl/>
        <w:spacing w:beforeAutospacing="0" w:afterAutospacing="0" w:line="560" w:lineRule="exact"/>
        <w:rPr>
          <w:rFonts w:hint="default" w:ascii="Times New Roman" w:hAnsi="Times New Roman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4"/>
        <w:widowControl/>
        <w:spacing w:beforeAutospacing="0" w:afterAutospacing="0" w:line="560" w:lineRule="exact"/>
        <w:rPr>
          <w:rFonts w:hint="default" w:ascii="Times New Roman" w:hAnsi="Times New Roman" w:cs="Times New Roman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2.资质证明：工程咨询单位备案证明（如有）；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3.其他证明材料。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12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6F6E3"/>
    <w:multiLevelType w:val="multilevel"/>
    <w:tmpl w:val="0FC6F6E3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1677" w:firstLine="0"/>
      </w:pPr>
      <w:rPr>
        <w:rFonts w:hint="eastAsia"/>
        <w:sz w:val="30"/>
        <w:szCs w:val="30"/>
      </w:rPr>
    </w:lvl>
    <w:lvl w:ilvl="1" w:tentative="0">
      <w:start w:val="1"/>
      <w:numFmt w:val="none"/>
      <w:pStyle w:val="18"/>
      <w:suff w:val="nothing"/>
      <w:lvlText w:val=""/>
      <w:lvlJc w:val="left"/>
      <w:pPr>
        <w:ind w:left="1317" w:firstLine="0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color w:val="auto"/>
        <w:sz w:val="24"/>
        <w:szCs w:val="24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sz w:val="24"/>
        <w:szCs w:val="24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sz w:val="24"/>
        <w:szCs w:val="24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1317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1317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1317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1317" w:firstLine="0"/>
      </w:pPr>
      <w:rPr>
        <w:rFonts w:hint="eastAsia"/>
      </w:rPr>
    </w:lvl>
  </w:abstractNum>
  <w:abstractNum w:abstractNumId="1">
    <w:nsid w:val="2E15883A"/>
    <w:multiLevelType w:val="multilevel"/>
    <w:tmpl w:val="2E15883A"/>
    <w:lvl w:ilvl="0" w:tentative="0">
      <w:start w:val="1"/>
      <w:numFmt w:val="chineseCountingThousand"/>
      <w:suff w:val="nothing"/>
      <w:lvlText w:val="第%1章"/>
      <w:lvlJc w:val="left"/>
      <w:pPr>
        <w:ind w:left="1677" w:firstLine="0"/>
      </w:pPr>
      <w:rPr>
        <w:rFonts w:hint="eastAsia"/>
        <w:sz w:val="30"/>
        <w:szCs w:val="30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1317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color w:val="auto"/>
        <w:sz w:val="24"/>
        <w:szCs w:val="24"/>
      </w:rPr>
    </w:lvl>
    <w:lvl w:ilvl="3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sz w:val="24"/>
        <w:szCs w:val="24"/>
      </w:rPr>
    </w:lvl>
    <w:lvl w:ilvl="4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sz w:val="24"/>
        <w:szCs w:val="24"/>
      </w:rPr>
    </w:lvl>
    <w:lvl w:ilvl="5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ZGI3NDIxNTQyZDQyNjdmYmFmOGI2M2QyMGU2NDEifQ=="/>
  </w:docVars>
  <w:rsids>
    <w:rsidRoot w:val="549E15FF"/>
    <w:rsid w:val="0E17250C"/>
    <w:rsid w:val="0EA7212C"/>
    <w:rsid w:val="121B40F7"/>
    <w:rsid w:val="156E1036"/>
    <w:rsid w:val="17590541"/>
    <w:rsid w:val="29264BF4"/>
    <w:rsid w:val="2F787C88"/>
    <w:rsid w:val="39B55A15"/>
    <w:rsid w:val="45CA5C72"/>
    <w:rsid w:val="549E15FF"/>
    <w:rsid w:val="6129336E"/>
    <w:rsid w:val="647D1994"/>
    <w:rsid w:val="79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00" w:beforeLines="100" w:line="480" w:lineRule="auto"/>
      <w:ind w:left="1677"/>
      <w:jc w:val="center"/>
      <w:outlineLvl w:val="0"/>
    </w:pPr>
    <w:rPr>
      <w:rFonts w:ascii="Times New Roman" w:hAnsi="Times New Roman" w:eastAsia="黑体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400" w:line="416" w:lineRule="auto"/>
      <w:ind w:left="1315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100" w:after="60" w:line="416" w:lineRule="auto"/>
      <w:ind w:left="1315"/>
      <w:outlineLvl w:val="2"/>
    </w:pPr>
    <w:rPr>
      <w:rFonts w:ascii="Times New Roman" w:hAnsi="Times New Roman" w:eastAsia="宋体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317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317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317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317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317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317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样式2"/>
    <w:basedOn w:val="1"/>
    <w:qFormat/>
    <w:uiPriority w:val="0"/>
    <w:pPr>
      <w:numPr>
        <w:ilvl w:val="1"/>
        <w:numId w:val="1"/>
      </w:numPr>
      <w:ind w:left="131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2023-08-02T07:12:00Z</dcterms:created>
  <dc:creator>WPS_1581997081</dc:creator>
  <cp:lastModifiedBy>我说小林</cp:lastModifiedBy>
  <dcterms:modified xsi:type="dcterms:W3CDTF">2023-10-13T03:37:20Z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2FE3F3CF3AA943DC9CEC5A23B0F50A83_11</vt:lpwstr>
  </property>
</Properties>
</file>